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193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3435"/>
        <w:gridCol w:w="2115"/>
        <w:gridCol w:w="2040"/>
        <w:tblGridChange w:id="0">
          <w:tblGrid>
            <w:gridCol w:w="2505"/>
            <w:gridCol w:w="3435"/>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16"/>
                <w:szCs w:val="16"/>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HPPS’s Privacy Notice (</w:t>
            </w:r>
            <w:hyperlink r:id="rId8">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b w:val="1"/>
                <w:rtl w:val="0"/>
              </w:rPr>
              <w:t xml:space="preserve">Please return this form to: The Admission Authority, Cathedral Schools Trust, College Square, Bristol, BS1 5TS or email </w:t>
            </w:r>
            <w:hyperlink r:id="rId9">
              <w:r w:rsidDel="00000000" w:rsidR="00000000" w:rsidRPr="00000000">
                <w:rPr>
                  <w:b w:val="1"/>
                  <w:color w:val="1155cc"/>
                  <w:u w:val="single"/>
                  <w:rtl w:val="0"/>
                </w:rPr>
                <w:t xml:space="preserve">admissions@cathedralschoolstrust.org</w:t>
              </w:r>
            </w:hyperlink>
            <w:r w:rsidDel="00000000" w:rsidR="00000000" w:rsidRPr="00000000">
              <w:rPr>
                <w:rtl w:val="0"/>
              </w:rPr>
            </w:r>
          </w:p>
        </w:tc>
      </w:tr>
    </w:tbl>
    <w:p w:rsidR="00000000" w:rsidDel="00000000" w:rsidP="00000000" w:rsidRDefault="00000000" w:rsidRPr="00000000" w14:paraId="00000036">
      <w:pPr>
        <w:spacing w:after="160" w:line="259" w:lineRule="auto"/>
        <w:jc w:val="both"/>
        <w:rPr/>
      </w:pPr>
      <w:r w:rsidDel="00000000" w:rsidR="00000000" w:rsidRPr="00000000">
        <w:rPr>
          <w:rtl w:val="0"/>
        </w:rPr>
      </w:r>
    </w:p>
    <w:sectPr>
      <w:headerReference r:id="rId10"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drive.google.com/file/d/1XkNP3z2JCd9f2JnGNOjcvyAv1Y4ogCAL/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